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BE5EB" w14:textId="77777777" w:rsidR="0063439D" w:rsidRPr="00057EE8" w:rsidRDefault="0063439D" w:rsidP="0063439D">
      <w:pPr>
        <w:tabs>
          <w:tab w:val="center" w:pos="4703"/>
          <w:tab w:val="right" w:pos="9407"/>
        </w:tabs>
        <w:jc w:val="center"/>
        <w:rPr>
          <w:rFonts w:ascii="Garamond" w:hAnsi="Garamond" w:cs="Arial"/>
          <w:b/>
          <w:sz w:val="24"/>
          <w:lang w:val="es-CO"/>
        </w:rPr>
      </w:pPr>
      <w:r w:rsidRPr="00057EE8">
        <w:rPr>
          <w:rFonts w:ascii="Garamond" w:hAnsi="Garamond" w:cs="Arial"/>
          <w:b/>
          <w:sz w:val="24"/>
          <w:lang w:val="es-CO"/>
        </w:rPr>
        <w:t>CBN – 1</w:t>
      </w:r>
      <w:r>
        <w:rPr>
          <w:rFonts w:ascii="Garamond" w:hAnsi="Garamond" w:cs="Arial"/>
          <w:b/>
          <w:sz w:val="24"/>
          <w:lang w:val="es-CO"/>
        </w:rPr>
        <w:t>090</w:t>
      </w:r>
    </w:p>
    <w:p w14:paraId="76E053D1" w14:textId="77777777" w:rsidR="0063439D" w:rsidRPr="00057EE8" w:rsidRDefault="0063439D" w:rsidP="0063439D">
      <w:pPr>
        <w:jc w:val="center"/>
        <w:rPr>
          <w:rFonts w:ascii="Garamond" w:hAnsi="Garamond" w:cs="Arial"/>
          <w:b/>
          <w:sz w:val="24"/>
          <w:lang w:val="es-CO"/>
        </w:rPr>
      </w:pPr>
      <w:r>
        <w:rPr>
          <w:rFonts w:ascii="Garamond" w:hAnsi="Garamond" w:cs="Arial"/>
          <w:b/>
          <w:sz w:val="24"/>
          <w:lang w:val="es-CO"/>
        </w:rPr>
        <w:t>INFORME DE GESTIÓN Y RESULTADOS</w:t>
      </w:r>
    </w:p>
    <w:p w14:paraId="16FC650D" w14:textId="77777777" w:rsidR="0063439D" w:rsidRDefault="0063439D" w:rsidP="0063439D">
      <w:pPr>
        <w:jc w:val="both"/>
        <w:rPr>
          <w:rFonts w:ascii="Garamond" w:hAnsi="Garamond" w:cs="Arial"/>
          <w:sz w:val="24"/>
          <w:lang w:val="es-CO"/>
        </w:rPr>
      </w:pPr>
    </w:p>
    <w:p w14:paraId="6BBD5B64" w14:textId="4A93657F" w:rsidR="0063439D" w:rsidRDefault="0063439D" w:rsidP="0063439D">
      <w:pPr>
        <w:jc w:val="both"/>
        <w:rPr>
          <w:rFonts w:ascii="Garamond" w:hAnsi="Garamond" w:cs="Arial"/>
          <w:sz w:val="24"/>
          <w:lang w:val="es-CO"/>
        </w:rPr>
      </w:pPr>
      <w:r>
        <w:rPr>
          <w:rFonts w:ascii="Garamond" w:hAnsi="Garamond" w:cs="Arial"/>
          <w:sz w:val="24"/>
          <w:lang w:val="es-CO"/>
        </w:rPr>
        <w:t>El Plan de Gestión de 201</w:t>
      </w:r>
      <w:r>
        <w:rPr>
          <w:rFonts w:ascii="Garamond" w:hAnsi="Garamond" w:cs="Arial"/>
          <w:sz w:val="24"/>
          <w:lang w:val="es-CO"/>
        </w:rPr>
        <w:t>9</w:t>
      </w:r>
      <w:r>
        <w:rPr>
          <w:rFonts w:ascii="Garamond" w:hAnsi="Garamond" w:cs="Arial"/>
          <w:sz w:val="24"/>
          <w:lang w:val="es-CO"/>
        </w:rPr>
        <w:t xml:space="preserve"> es producto de un ejercicio concertado entre </w:t>
      </w:r>
      <w:r w:rsidRPr="00AE1AC6">
        <w:rPr>
          <w:rFonts w:ascii="Garamond" w:hAnsi="Garamond" w:cs="Arial"/>
          <w:sz w:val="24"/>
          <w:lang w:val="es-CO"/>
        </w:rPr>
        <w:t>los líderes de los</w:t>
      </w:r>
      <w:r>
        <w:rPr>
          <w:rFonts w:ascii="Garamond" w:hAnsi="Garamond" w:cs="Arial"/>
          <w:sz w:val="24"/>
          <w:lang w:val="es-CO"/>
        </w:rPr>
        <w:t xml:space="preserve"> macroprocesos y los </w:t>
      </w:r>
      <w:r w:rsidRPr="00AE1AC6">
        <w:rPr>
          <w:rFonts w:ascii="Garamond" w:hAnsi="Garamond" w:cs="Arial"/>
          <w:sz w:val="24"/>
          <w:lang w:val="es-CO"/>
        </w:rPr>
        <w:t xml:space="preserve">procesos de </w:t>
      </w:r>
      <w:r>
        <w:rPr>
          <w:rFonts w:ascii="Garamond" w:hAnsi="Garamond" w:cs="Arial"/>
          <w:sz w:val="24"/>
          <w:lang w:val="es-CO"/>
        </w:rPr>
        <w:t xml:space="preserve">la Secretaria Distrital de Gobierno, en el cual se establecen las metas </w:t>
      </w:r>
      <w:proofErr w:type="gramStart"/>
      <w:r>
        <w:rPr>
          <w:rFonts w:ascii="Garamond" w:hAnsi="Garamond" w:cs="Arial"/>
          <w:sz w:val="24"/>
          <w:lang w:val="es-CO"/>
        </w:rPr>
        <w:t>del mismo</w:t>
      </w:r>
      <w:proofErr w:type="gramEnd"/>
      <w:r>
        <w:rPr>
          <w:rFonts w:ascii="Garamond" w:hAnsi="Garamond" w:cs="Arial"/>
          <w:sz w:val="24"/>
          <w:lang w:val="es-CO"/>
        </w:rPr>
        <w:t xml:space="preserve"> por cada uno de los procesos, los cuales están relacionados directamente con el objetivo estratégico: </w:t>
      </w:r>
      <w:r w:rsidRPr="00D33C09">
        <w:rPr>
          <w:rFonts w:ascii="Garamond" w:hAnsi="Garamond" w:cs="Arial"/>
          <w:sz w:val="24"/>
          <w:lang w:val="es-CO"/>
        </w:rPr>
        <w:t>Fortalecer la capacidad institucional y p</w:t>
      </w:r>
      <w:r>
        <w:rPr>
          <w:rFonts w:ascii="Garamond" w:hAnsi="Garamond" w:cs="Arial"/>
          <w:sz w:val="24"/>
          <w:lang w:val="es-CO"/>
        </w:rPr>
        <w:t xml:space="preserve">ara el ejercicio de la función </w:t>
      </w:r>
      <w:r w:rsidRPr="00D33C09">
        <w:rPr>
          <w:rFonts w:ascii="Garamond" w:hAnsi="Garamond" w:cs="Arial"/>
          <w:sz w:val="24"/>
          <w:lang w:val="es-CO"/>
        </w:rPr>
        <w:t>policiva por parte de las Autoridades locales a cargo de la SDG.</w:t>
      </w:r>
    </w:p>
    <w:p w14:paraId="603314F6" w14:textId="77777777" w:rsidR="0087275C" w:rsidRDefault="0063439D" w:rsidP="0087275C">
      <w:pPr>
        <w:jc w:val="both"/>
        <w:rPr>
          <w:rFonts w:ascii="Garamond" w:hAnsi="Garamond" w:cs="Arial"/>
          <w:sz w:val="24"/>
          <w:lang w:val="es-CO"/>
        </w:rPr>
      </w:pPr>
      <w:r>
        <w:rPr>
          <w:rFonts w:ascii="Garamond" w:hAnsi="Garamond" w:cs="Arial"/>
          <w:sz w:val="24"/>
          <w:lang w:val="es-CO"/>
        </w:rPr>
        <w:t>A continuación, se relacionan las metas de gestión que aportaron al cumplimiento de dicho objetivo estratégico y el avance que presentó durante el año 201</w:t>
      </w:r>
      <w:r w:rsidR="00197DBE">
        <w:rPr>
          <w:rFonts w:ascii="Garamond" w:hAnsi="Garamond" w:cs="Arial"/>
          <w:sz w:val="24"/>
          <w:lang w:val="es-CO"/>
        </w:rPr>
        <w:t>9</w:t>
      </w:r>
      <w:r>
        <w:rPr>
          <w:rFonts w:ascii="Garamond" w:hAnsi="Garamond" w:cs="Arial"/>
          <w:sz w:val="24"/>
          <w:lang w:val="es-CO"/>
        </w:rPr>
        <w:t>:</w:t>
      </w:r>
    </w:p>
    <w:p w14:paraId="0996F620" w14:textId="77777777" w:rsidR="0087275C" w:rsidRDefault="0087275C" w:rsidP="0087275C">
      <w:pPr>
        <w:jc w:val="both"/>
        <w:rPr>
          <w:rFonts w:ascii="Garamond" w:hAnsi="Garamond" w:cs="Arial"/>
          <w:sz w:val="24"/>
          <w:lang w:val="es-CO"/>
        </w:rPr>
      </w:pPr>
    </w:p>
    <w:tbl>
      <w:tblPr>
        <w:tblW w:w="9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33"/>
        <w:gridCol w:w="3544"/>
        <w:gridCol w:w="4183"/>
      </w:tblGrid>
      <w:tr w:rsidR="0087275C" w:rsidRPr="0087275C" w14:paraId="48B3D29C" w14:textId="77777777" w:rsidTr="0087275C">
        <w:trPr>
          <w:trHeight w:val="675"/>
        </w:trPr>
        <w:tc>
          <w:tcPr>
            <w:tcW w:w="18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7E8F2947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87275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 xml:space="preserve">PROCESO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2F7EF4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87275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 xml:space="preserve">INDICADOR DE GESTION </w:t>
            </w:r>
          </w:p>
        </w:tc>
        <w:tc>
          <w:tcPr>
            <w:tcW w:w="4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641B7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</w:pPr>
            <w:r w:rsidRPr="0087275C">
              <w:rPr>
                <w:rFonts w:eastAsia="Times New Roman" w:cs="Calibri"/>
                <w:b/>
                <w:bCs/>
                <w:color w:val="000000"/>
                <w:lang w:val="es-CO" w:eastAsia="es-CO"/>
              </w:rPr>
              <w:t xml:space="preserve">AVANCES DE EJECUCION </w:t>
            </w:r>
          </w:p>
        </w:tc>
      </w:tr>
      <w:tr w:rsidR="0087275C" w:rsidRPr="0087275C" w14:paraId="58CB475B" w14:textId="77777777" w:rsidTr="0087275C">
        <w:trPr>
          <w:trHeight w:val="2462"/>
        </w:trPr>
        <w:tc>
          <w:tcPr>
            <w:tcW w:w="18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38F4D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Gestión Pública Territorial Local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BD54A3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Porcentaje de incremento de la participación de los Ciudadanos en la Audiencia de Rendición de Cuentas</w:t>
            </w:r>
          </w:p>
        </w:tc>
        <w:tc>
          <w:tcPr>
            <w:tcW w:w="4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4DEFD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La Audiencia Pública de Rendición de Cuentas del año 2019 se llevó a cabo el 24 de abril de 2019, a la cual asistieron 778 personas según el registro de asistencia.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La Audiencia Pública de Rendición de Cuentas del año 2018 se realizó el 27 de abril de 2018, a la cual asistieron 929 personas según el registro de asistencia.</w:t>
            </w:r>
          </w:p>
        </w:tc>
      </w:tr>
      <w:tr w:rsidR="0087275C" w:rsidRPr="0087275C" w14:paraId="2B8FBE15" w14:textId="77777777" w:rsidTr="0087275C">
        <w:trPr>
          <w:trHeight w:val="1547"/>
        </w:trPr>
        <w:tc>
          <w:tcPr>
            <w:tcW w:w="1833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7D57C9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Gestión Pública Territorial Local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D78D0" w14:textId="19842171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Porcentaje de Avance en el Cumplimiento </w:t>
            </w:r>
            <w:r w:rsidRPr="0087275C">
              <w:rPr>
                <w:rFonts w:eastAsia="Times New Roman" w:cs="Calibri"/>
                <w:lang w:val="es-CO" w:eastAsia="es-CO"/>
              </w:rPr>
              <w:t>Físico</w:t>
            </w:r>
            <w:r w:rsidRPr="0087275C">
              <w:rPr>
                <w:rFonts w:eastAsia="Times New Roman" w:cs="Calibri"/>
                <w:lang w:val="es-CO" w:eastAsia="es-CO"/>
              </w:rPr>
              <w:t xml:space="preserve"> del Plan de Desarrollo Local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07F48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En la vigencia, Según el reporte MUSI de la Secretaría Distrital de Planeación, la Alcaldía Local alcanzó un avance físico del 62,9% del plan de desarrollo.</w:t>
            </w:r>
          </w:p>
        </w:tc>
      </w:tr>
      <w:tr w:rsidR="0087275C" w:rsidRPr="0087275C" w14:paraId="3C6240F9" w14:textId="77777777" w:rsidTr="0087275C">
        <w:trPr>
          <w:trHeight w:val="1461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BE5B3" w14:textId="5E2D668E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Gestión</w:t>
            </w:r>
            <w:r w:rsidRPr="0087275C">
              <w:rPr>
                <w:rFonts w:eastAsia="Times New Roman" w:cs="Calibri"/>
                <w:lang w:val="es-CO" w:eastAsia="es-CO"/>
              </w:rPr>
              <w:t xml:space="preserve"> Corporativa Local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27D519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Porcentaje de Compromisos de la vigencia 2019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70E73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Según lo reportado en el reporte PREDIS, la Alcaldía Local comprometió el 97,73 del presupuesto de inversión directa disponible para la vigencia. </w:t>
            </w:r>
          </w:p>
        </w:tc>
      </w:tr>
      <w:tr w:rsidR="0087275C" w:rsidRPr="0087275C" w14:paraId="5FD640DA" w14:textId="77777777" w:rsidTr="0087275C">
        <w:trPr>
          <w:trHeight w:val="1155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635937" w14:textId="47480A82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lastRenderedPageBreak/>
              <w:t>Gestión</w:t>
            </w:r>
            <w:r w:rsidRPr="0087275C">
              <w:rPr>
                <w:rFonts w:eastAsia="Times New Roman" w:cs="Calibri"/>
                <w:lang w:val="es-CO" w:eastAsia="es-CO"/>
              </w:rPr>
              <w:t xml:space="preserve"> Corporativa Local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D9281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 </w:t>
            </w:r>
          </w:p>
          <w:p w14:paraId="21499F24" w14:textId="77777777" w:rsidR="0087275C" w:rsidRPr="004B1AA7" w:rsidRDefault="0087275C" w:rsidP="0087275C">
            <w:pPr>
              <w:suppressAutoHyphens w:val="0"/>
              <w:spacing w:after="0" w:line="240" w:lineRule="auto"/>
              <w:rPr>
                <w:rFonts w:eastAsia="Times New Roman" w:cs="Calibri"/>
                <w:lang w:val="es-CO" w:eastAsia="es-CO"/>
              </w:rPr>
            </w:pPr>
            <w:r w:rsidRPr="004B1AA7">
              <w:rPr>
                <w:rFonts w:eastAsia="Times New Roman" w:cs="Calibri"/>
                <w:lang w:val="es-CO" w:eastAsia="es-CO"/>
              </w:rPr>
              <w:t>Porcentaje de Giros de Obligaciones por Pagar 2018</w:t>
            </w:r>
          </w:p>
          <w:p w14:paraId="1E6254C5" w14:textId="07D24E96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974EF2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 </w:t>
            </w:r>
          </w:p>
          <w:p w14:paraId="42C79928" w14:textId="77777777" w:rsidR="0087275C" w:rsidRPr="004B1AA7" w:rsidRDefault="0087275C" w:rsidP="0087275C">
            <w:pPr>
              <w:suppressAutoHyphens w:val="0"/>
              <w:spacing w:after="0" w:line="240" w:lineRule="auto"/>
              <w:rPr>
                <w:rFonts w:eastAsia="Times New Roman" w:cs="Calibri"/>
                <w:lang w:val="es-CO" w:eastAsia="es-CO"/>
              </w:rPr>
            </w:pPr>
            <w:r w:rsidRPr="004B1AA7">
              <w:rPr>
                <w:rFonts w:eastAsia="Times New Roman" w:cs="Calibri"/>
                <w:lang w:val="es-CO" w:eastAsia="es-CO"/>
              </w:rPr>
              <w:t xml:space="preserve">(Valor de los giros de obligaciones por pagar de la vigencia 2018 / Valor total de las obligaciones por pagar de la vigencia </w:t>
            </w:r>
            <w:proofErr w:type="gramStart"/>
            <w:r w:rsidRPr="004B1AA7">
              <w:rPr>
                <w:rFonts w:eastAsia="Times New Roman" w:cs="Calibri"/>
                <w:lang w:val="es-CO" w:eastAsia="es-CO"/>
              </w:rPr>
              <w:t>2018)*</w:t>
            </w:r>
            <w:proofErr w:type="gramEnd"/>
            <w:r w:rsidRPr="004B1AA7">
              <w:rPr>
                <w:rFonts w:eastAsia="Times New Roman" w:cs="Calibri"/>
                <w:lang w:val="es-CO" w:eastAsia="es-CO"/>
              </w:rPr>
              <w:t>100</w:t>
            </w:r>
          </w:p>
          <w:p w14:paraId="3D5ACF7A" w14:textId="62ECE843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</w:p>
        </w:tc>
      </w:tr>
      <w:tr w:rsidR="0087275C" w:rsidRPr="0087275C" w14:paraId="27EF5740" w14:textId="77777777" w:rsidTr="0087275C">
        <w:trPr>
          <w:trHeight w:val="8100"/>
        </w:trPr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82DA9D" w14:textId="5A863FBD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Gestión</w:t>
            </w:r>
            <w:r w:rsidRPr="0087275C">
              <w:rPr>
                <w:rFonts w:eastAsia="Times New Roman" w:cs="Calibri"/>
                <w:lang w:val="es-CO" w:eastAsia="es-CO"/>
              </w:rPr>
              <w:t xml:space="preserve"> Corporativa Local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0996B1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Porcentaje de Giros de la Vigencia 2019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E70673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A corte del IV trimestre del 2019, , se ha realizado los compromisos de rubro de inversión </w:t>
            </w:r>
            <w:proofErr w:type="spellStart"/>
            <w:r w:rsidRPr="0087275C">
              <w:rPr>
                <w:rFonts w:eastAsia="Times New Roman" w:cs="Calibri"/>
                <w:lang w:val="es-CO" w:eastAsia="es-CO"/>
              </w:rPr>
              <w:t>asi</w:t>
            </w:r>
            <w:proofErr w:type="spellEnd"/>
            <w:r w:rsidRPr="0087275C">
              <w:rPr>
                <w:rFonts w:eastAsia="Times New Roman" w:cs="Calibri"/>
                <w:lang w:val="es-CO" w:eastAsia="es-CO"/>
              </w:rPr>
              <w:t>: “Girar mínimo el 40% del presupuesto de inversión directa comprometidos en la vigencia 2019.”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3-3-1-15-01-03-1475 Envejecimiento digno, activo y feliz $3,381,037,309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3-3-1-15-01-03-1477 Ayudas para la calidad de vida de personas con discapacidad $39,600.000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3-3-1-15-01-11-1480 Cultura, recreación y deporte para la participación y la formación $ 667.127.353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3-3-1-15-02-17-1488 Parques Incluyentes y Democráticos para la participación ciudadana $ 115.660.000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3-3-1-15-02-18-1490 Movilidad y espacios públicos para el disfrute de la ciudadanía $ 491.111.694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3-3-1-15-03-19-1495 Espacios seguros y confiables para la convivencia $ 163.403.334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3-3-1-15-07-45-1501 Buen gobierno para estimular la participación social $ 5.161.779.694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3-3-1-15-07-45-1529 Empoderamiento social con corresponsabilidad $101.936.333.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Evidencia: Ejecución presupuestal a 30 de septiembre de 2019. Informar los giros de presupuesto de inversión directa realizados entre el 1° de enero de 2019 y el 30 de septiembre de 2019, especificando los rubros presupuestales en los cuales se realizaron los giros.</w:t>
            </w:r>
          </w:p>
        </w:tc>
      </w:tr>
      <w:tr w:rsidR="0087275C" w:rsidRPr="0087275C" w14:paraId="5A3B7F5E" w14:textId="77777777" w:rsidTr="0087275C">
        <w:trPr>
          <w:trHeight w:val="51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F2F430" w14:textId="1C70EEE1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lastRenderedPageBreak/>
              <w:t>Gestión</w:t>
            </w:r>
            <w:r w:rsidRPr="0087275C">
              <w:rPr>
                <w:rFonts w:eastAsia="Times New Roman" w:cs="Calibri"/>
                <w:lang w:val="es-CO" w:eastAsia="es-CO"/>
              </w:rPr>
              <w:t xml:space="preserve"> Corporativa Local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EA948" w14:textId="7450F405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Porcentaje de Giros de Obligaciones por Pagar 2017 y </w:t>
            </w:r>
            <w:r w:rsidRPr="0087275C">
              <w:rPr>
                <w:rFonts w:eastAsia="Times New Roman" w:cs="Calibri"/>
                <w:lang w:val="es-CO" w:eastAsia="es-CO"/>
              </w:rPr>
              <w:t>anteriores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0112D0" w14:textId="77777777" w:rsidR="0087275C" w:rsidRPr="0087275C" w:rsidRDefault="0087275C" w:rsidP="0087275C">
            <w:pPr>
              <w:suppressAutoHyphens w:val="0"/>
              <w:autoSpaceDN/>
              <w:spacing w:after="24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Según reporte PREDIS “Girar el 50% del presupuesto constituido como Obligaciones por Pagar de la vigencia 2017 y anteriores (Funcionamiento e Inversión).”</w:t>
            </w:r>
            <w:r w:rsidRPr="0087275C">
              <w:rPr>
                <w:rFonts w:eastAsia="Times New Roman" w:cs="Calibri"/>
                <w:lang w:val="es-CO" w:eastAsia="es-CO"/>
              </w:rPr>
              <w:br/>
            </w:r>
            <w:r w:rsidRPr="0087275C">
              <w:rPr>
                <w:rFonts w:eastAsia="Times New Roman" w:cs="Calibri"/>
                <w:lang w:val="es-CO" w:eastAsia="es-CO"/>
              </w:rPr>
              <w:br/>
            </w:r>
            <w:r w:rsidRPr="0087275C">
              <w:rPr>
                <w:rFonts w:eastAsia="Times New Roman" w:cs="Calibri"/>
                <w:lang w:val="es-CO" w:eastAsia="es-CO"/>
              </w:rPr>
              <w:br/>
              <w:t>3-1-8-02-01-02 Gastos de Computador 40.816.127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3-1-8-02-01-03 Combustibles Lubricantes y Llantas 14.884.560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3-1-8-02-01-04 Materiales y Suministros 12.237.751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3-1-8-02-02-03 Gastos de Transporte y Comunicación 2.019.800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3-1-8-02-02-05-0001 Mantenimiento Entidad 716.400.624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3-3-6-90 OBLIGACIONES POR PAGAR VIGENCIAS ANTERIORES 12.720.657.697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 xml:space="preserve">  13.507.128.608</w:t>
            </w:r>
          </w:p>
        </w:tc>
      </w:tr>
      <w:tr w:rsidR="0087275C" w:rsidRPr="0087275C" w14:paraId="7F92C9F8" w14:textId="77777777" w:rsidTr="0087275C">
        <w:trPr>
          <w:trHeight w:val="1975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920FC4" w14:textId="24A7F2FE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Gestión</w:t>
            </w:r>
            <w:r w:rsidRPr="0087275C">
              <w:rPr>
                <w:rFonts w:eastAsia="Times New Roman" w:cs="Calibri"/>
                <w:lang w:val="es-CO" w:eastAsia="es-CO"/>
              </w:rPr>
              <w:t xml:space="preserve"> Corporativa Local 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3AB24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Porcentaje de Giros de Obligaciones por Pagar 2018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797538" w14:textId="41393C08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Según reporte PREDIS “Girar el 50% del presupuesto constituido como Obligaciones por Pagar de la vigencia 2018 (Funcionamiento e Inversión).</w:t>
            </w:r>
            <w:r w:rsidRPr="0087275C">
              <w:rPr>
                <w:rFonts w:eastAsia="Times New Roman" w:cs="Calibri"/>
                <w:lang w:val="es-CO" w:eastAsia="es-CO"/>
              </w:rPr>
              <w:br/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3-3-6-15-01-02-1468-00 Desarrollo integral y buen trato para niños y niñas 392.196.627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3-3-6-15-01-03-1475-00 Envejecimiento digno activo y feliz 52.283.702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3-3-6-15-01-03-1477-00 Ayudas para la calidad de vida de personas con discapacidad 345.213.323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3-3-6-15-01-07-1479-00 Dotaciones pedagógicas para el aprendizaje y la felicidad 435.344.959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3-3-6-15-01-11-1480-00 Cultura, recreación y deporte para la participación y la formación 1.998.168.442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3-3-6-15-02-17-1488-00 Parques Incluyentes y Democráticos para la participación ciudadana 3.614.629.634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3-3-6-15-02-18-1490-00 Movilidad y espacios públicos para el disfrute de la ciudadanía 12.446.092.610</w:t>
            </w:r>
            <w:r w:rsidRPr="0087275C">
              <w:rPr>
                <w:rFonts w:eastAsia="Times New Roman" w:cs="Calibri"/>
                <w:lang w:val="es-CO" w:eastAsia="es-CO"/>
              </w:rPr>
              <w:br/>
            </w:r>
            <w:r w:rsidRPr="0087275C">
              <w:rPr>
                <w:rFonts w:eastAsia="Times New Roman" w:cs="Calibri"/>
                <w:lang w:val="es-CO" w:eastAsia="es-CO"/>
              </w:rPr>
              <w:lastRenderedPageBreak/>
              <w:t>3-3-6-15-03-19-1495-00 Espacios seguros y confiables para la convivencia 1.960.270.198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3-3-6-15-03-20-1496-00 El derecho de las mujeres a una vida libre de violencia 268.092.478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3-3-6-15-05-31-1498-00 El emprendimiento para la construcción de la paz y la felicidad 894.228.472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3-3-6-15-06-38-1500-00 Territorio sostenible con participación 338.046.670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3-3-6-15-07-45-1501-00 Buen gobierno para estimular la participación social 1.434.014.971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>3-3-6-15-07-45-1529-00 Empoderamiento social con corresponsabilidad 1.264.897.708</w:t>
            </w:r>
            <w:r w:rsidRPr="0087275C">
              <w:rPr>
                <w:rFonts w:eastAsia="Times New Roman" w:cs="Calibri"/>
                <w:lang w:val="es-CO" w:eastAsia="es-CO"/>
              </w:rPr>
              <w:br/>
              <w:t xml:space="preserve">  25.443.479.794</w:t>
            </w:r>
            <w:r w:rsidRPr="0087275C">
              <w:rPr>
                <w:rFonts w:eastAsia="Times New Roman" w:cs="Calibri"/>
                <w:lang w:val="es-CO" w:eastAsia="es-CO"/>
              </w:rPr>
              <w:br/>
            </w:r>
            <w:r w:rsidRPr="0087275C">
              <w:rPr>
                <w:rFonts w:eastAsia="Times New Roman" w:cs="Calibri"/>
                <w:lang w:val="es-CO" w:eastAsia="es-CO"/>
              </w:rPr>
              <w:br/>
              <w:t>Evidencia: Ejecución presupuestal a 30 de septiembre de 2019. Informar los giros de presupuesto de inversión realizados entre el 1° de enero de 2019 y el 31 de diciembre de 2019, especificando los rubros presupuestales en los cuales se realizaron los giros de las obligaciones por pagar de la vigencia 2018.</w:t>
            </w:r>
          </w:p>
        </w:tc>
      </w:tr>
      <w:tr w:rsidR="0087275C" w:rsidRPr="0087275C" w14:paraId="4E744623" w14:textId="77777777" w:rsidTr="004B1AA7">
        <w:trPr>
          <w:trHeight w:val="1056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B2D20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lastRenderedPageBreak/>
              <w:t>Inspección Vigilancia y Control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DEEC2E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Porcentaje de impulsos procesales por los inspectores en las Localidades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178C76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La Alcaldía Local dio impulso a 14.329 comparendos recibidos en las vigencias anteriores al año 2019</w:t>
            </w:r>
          </w:p>
        </w:tc>
      </w:tr>
      <w:tr w:rsidR="0087275C" w:rsidRPr="0087275C" w14:paraId="5AA81AEA" w14:textId="77777777" w:rsidTr="0087275C">
        <w:trPr>
          <w:trHeight w:val="12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B37A30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Inspección Vigilancia y Control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637C99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Porcentaje de impulsos procesales por los inspectores en las Localidades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FC869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La Alcaldía Local dio impulso a 4.046 quejas recibidos en las vigencias anteriores al año 2019.</w:t>
            </w:r>
          </w:p>
        </w:tc>
      </w:tr>
      <w:tr w:rsidR="0087275C" w:rsidRPr="0087275C" w14:paraId="1418749E" w14:textId="77777777" w:rsidTr="0087275C">
        <w:trPr>
          <w:trHeight w:val="12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D7ABD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Inspección Vigilancia y Control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AAEE7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Cantidad de acciones de control u operativos en materia de económica realizados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14B2B3" w14:textId="31322430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La Alcaldía Local realizó 115 operativos en la vigencia 2019 en materia de </w:t>
            </w:r>
            <w:r w:rsidRPr="0087275C">
              <w:rPr>
                <w:rFonts w:eastAsia="Times New Roman" w:cs="Calibri"/>
                <w:lang w:val="es-CO" w:eastAsia="es-CO"/>
              </w:rPr>
              <w:t>actividad económica</w:t>
            </w:r>
            <w:r w:rsidRPr="0087275C">
              <w:rPr>
                <w:rFonts w:eastAsia="Times New Roman" w:cs="Calibri"/>
                <w:lang w:val="es-CO" w:eastAsia="es-CO"/>
              </w:rPr>
              <w:t>.</w:t>
            </w:r>
          </w:p>
        </w:tc>
      </w:tr>
      <w:tr w:rsidR="0087275C" w:rsidRPr="0087275C" w14:paraId="3554896F" w14:textId="77777777" w:rsidTr="0087275C">
        <w:trPr>
          <w:trHeight w:val="1687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3E80FB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Inspección Vigilancia y Control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6DDC6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Cantidad de acciones de control u operativos en materia de urbanismo relacionados con la integridad urbanística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D6BE6F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En la vigencia, la Alcaldía Local de Engativá realizó 62 operativos en materia de urbanismo relacionados con la integridad urbanística.</w:t>
            </w:r>
          </w:p>
        </w:tc>
      </w:tr>
      <w:tr w:rsidR="0087275C" w:rsidRPr="0087275C" w14:paraId="77E313C7" w14:textId="77777777" w:rsidTr="0087275C">
        <w:trPr>
          <w:trHeight w:val="157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92A64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lastRenderedPageBreak/>
              <w:t>Inspección Vigilancia y Control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4BE13E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Cantidad de acciones de control de operativos en materia de urbanismo relacionados con espacio público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0CFA16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La Alcaldía Local de Engativá realizó 66 operativos en materia de urbanismos relacionados con espacio público en la vigencia 2019.</w:t>
            </w:r>
          </w:p>
        </w:tc>
      </w:tr>
      <w:tr w:rsidR="0087275C" w:rsidRPr="0087275C" w14:paraId="46178D1E" w14:textId="77777777" w:rsidTr="0087275C">
        <w:trPr>
          <w:trHeight w:val="1549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7AA7D0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Gerencia de TIC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84AD68" w14:textId="17AF65AF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Porcentaje </w:t>
            </w:r>
            <w:r w:rsidRPr="0087275C">
              <w:rPr>
                <w:rFonts w:eastAsia="Times New Roman" w:cs="Calibri"/>
                <w:lang w:val="es-CO" w:eastAsia="es-CO"/>
              </w:rPr>
              <w:t>del lineamiento</w:t>
            </w:r>
            <w:r w:rsidRPr="0087275C">
              <w:rPr>
                <w:rFonts w:eastAsia="Times New Roman" w:cs="Calibri"/>
                <w:lang w:val="es-CO" w:eastAsia="es-CO"/>
              </w:rPr>
              <w:t xml:space="preserve"> de gestión de TIC Impartidas por la DTI del nivel central Cumplidas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D3644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proofErr w:type="gramStart"/>
            <w:r w:rsidRPr="0087275C">
              <w:rPr>
                <w:rFonts w:eastAsia="Times New Roman" w:cs="Calibri"/>
                <w:lang w:val="es-CO" w:eastAsia="es-CO"/>
              </w:rPr>
              <w:t>De acuerdo al</w:t>
            </w:r>
            <w:proofErr w:type="gramEnd"/>
            <w:r w:rsidRPr="0087275C">
              <w:rPr>
                <w:rFonts w:eastAsia="Times New Roman" w:cs="Calibri"/>
                <w:lang w:val="es-CO" w:eastAsia="es-CO"/>
              </w:rPr>
              <w:t xml:space="preserve"> informe remitido por la DTI, la Alcaldía Local cumple con el 99% de los 6 lineamientos evaluados</w:t>
            </w:r>
          </w:p>
        </w:tc>
      </w:tr>
      <w:tr w:rsidR="0087275C" w:rsidRPr="0087275C" w14:paraId="4360EC20" w14:textId="77777777" w:rsidTr="0087275C">
        <w:trPr>
          <w:trHeight w:val="1557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8D9D81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Implementación del Modelo Integrado de Planeación y Gestión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01D08" w14:textId="5E2B8E1F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Propuesta de buena práctica de gestión </w:t>
            </w:r>
            <w:r w:rsidRPr="0087275C">
              <w:rPr>
                <w:rFonts w:eastAsia="Times New Roman" w:cs="Calibri"/>
                <w:lang w:val="es-CO" w:eastAsia="es-CO"/>
              </w:rPr>
              <w:t>registrada por</w:t>
            </w:r>
            <w:r w:rsidRPr="0087275C">
              <w:rPr>
                <w:rFonts w:eastAsia="Times New Roman" w:cs="Calibri"/>
                <w:lang w:val="es-CO" w:eastAsia="es-CO"/>
              </w:rPr>
              <w:t xml:space="preserve"> proceso o Alcaldía Local en la herramienta de gestión del conocimiento (AGORA).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C6741A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La Alcaldía Local realizó el registro de la buena práctica en el aplicativo AGORA. </w:t>
            </w:r>
          </w:p>
        </w:tc>
      </w:tr>
      <w:tr w:rsidR="0087275C" w:rsidRPr="0087275C" w14:paraId="11A661B6" w14:textId="77777777" w:rsidTr="0087275C">
        <w:trPr>
          <w:trHeight w:val="150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F69EE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Implementación del Modelo Integrado de Planeación y Gestión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9FB54B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Acciones correctivas documentadas y vigentes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AAC08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La Alcaldía Local y/o proceso mantuvo en el trimestre el 44% de las acciones de mejora asignadas con relación a planes de mejoramiento interno documentadas y vigentes</w:t>
            </w:r>
          </w:p>
        </w:tc>
      </w:tr>
      <w:tr w:rsidR="0087275C" w:rsidRPr="0087275C" w14:paraId="6C587C75" w14:textId="77777777" w:rsidTr="004B1AA7">
        <w:trPr>
          <w:trHeight w:val="1573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FF3C70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Implementación del Modelo Integrado de Planeación y Gestión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E6CCD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 xml:space="preserve">Porcentaje de requerimientos ciudadanos con respuesta de fondo con corte a 31 de diciembre de 2018, según verificación efectuada por el proceso de Servicio a la Ciudadanía 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60E5B1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La Alcaldía Local cuenta con 1 SDQS pendient</w:t>
            </w:r>
            <w:bookmarkStart w:id="0" w:name="_GoBack"/>
            <w:bookmarkEnd w:id="0"/>
            <w:r w:rsidRPr="0087275C">
              <w:rPr>
                <w:rFonts w:eastAsia="Times New Roman" w:cs="Calibri"/>
                <w:lang w:val="es-CO" w:eastAsia="es-CO"/>
              </w:rPr>
              <w:t xml:space="preserve">es por tramitar </w:t>
            </w:r>
          </w:p>
        </w:tc>
      </w:tr>
      <w:tr w:rsidR="0087275C" w:rsidRPr="0087275C" w14:paraId="04ACEB08" w14:textId="77777777" w:rsidTr="0087275C">
        <w:trPr>
          <w:trHeight w:val="1262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AB8772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Implementación del Modelo Integrado de Planeación y Gestión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7EC77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Cumplimiento de criterios ambientales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7914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La Alcaldía Local cumple con el 71% de los requisitos ambientales exigidos.</w:t>
            </w:r>
          </w:p>
        </w:tc>
      </w:tr>
      <w:tr w:rsidR="0087275C" w:rsidRPr="0087275C" w14:paraId="4FBD0C0B" w14:textId="77777777" w:rsidTr="0087275C">
        <w:trPr>
          <w:trHeight w:val="1120"/>
        </w:trPr>
        <w:tc>
          <w:tcPr>
            <w:tcW w:w="18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C1418F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Implementación del Modelo Integrado de Planeación y Gestión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FCF8DF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Nivel de conocimientos de MIPG</w:t>
            </w:r>
          </w:p>
        </w:tc>
        <w:tc>
          <w:tcPr>
            <w:tcW w:w="4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E44879" w14:textId="77777777" w:rsidR="0087275C" w:rsidRPr="0087275C" w:rsidRDefault="0087275C" w:rsidP="0087275C">
            <w:pPr>
              <w:suppressAutoHyphens w:val="0"/>
              <w:autoSpaceDN/>
              <w:spacing w:after="0" w:line="240" w:lineRule="auto"/>
              <w:textAlignment w:val="auto"/>
              <w:rPr>
                <w:rFonts w:eastAsia="Times New Roman" w:cs="Calibri"/>
                <w:lang w:val="es-CO" w:eastAsia="es-CO"/>
              </w:rPr>
            </w:pPr>
            <w:r w:rsidRPr="0087275C">
              <w:rPr>
                <w:rFonts w:eastAsia="Times New Roman" w:cs="Calibri"/>
                <w:lang w:val="es-CO" w:eastAsia="es-CO"/>
              </w:rPr>
              <w:t>La Alcaldía Local alcanzó un desempeño del 79,20% en el curso MIPG</w:t>
            </w:r>
          </w:p>
        </w:tc>
      </w:tr>
    </w:tbl>
    <w:p w14:paraId="4719E44A" w14:textId="2A8A1E60" w:rsidR="00A134C3" w:rsidRPr="00060479" w:rsidRDefault="0087275C" w:rsidP="00A134C3">
      <w:pPr>
        <w:jc w:val="both"/>
        <w:rPr>
          <w:rFonts w:ascii="Garamond" w:hAnsi="Garamond" w:cs="Arial"/>
          <w:lang w:val="es-CO"/>
        </w:rPr>
      </w:pPr>
      <w:r w:rsidRPr="00060479">
        <w:rPr>
          <w:rFonts w:ascii="Garamond" w:hAnsi="Garamond" w:cs="Arial"/>
          <w:lang w:val="es-CO"/>
        </w:rPr>
        <w:t xml:space="preserve"> </w:t>
      </w:r>
      <w:r w:rsidR="00A134C3">
        <w:rPr>
          <w:rFonts w:ascii="Garamond" w:hAnsi="Garamond" w:cs="Arial"/>
          <w:lang w:val="es-CO"/>
        </w:rPr>
        <w:t xml:space="preserve">Proyecto: </w:t>
      </w:r>
      <w:r w:rsidR="00A134C3">
        <w:rPr>
          <w:rFonts w:ascii="Garamond" w:hAnsi="Garamond" w:cs="Arial"/>
          <w:lang w:val="es-CO"/>
        </w:rPr>
        <w:t>Diana Marcela Castro Gualtero</w:t>
      </w:r>
      <w:r w:rsidR="00A134C3">
        <w:rPr>
          <w:rFonts w:ascii="Garamond" w:hAnsi="Garamond" w:cs="Arial"/>
          <w:lang w:val="es-CO"/>
        </w:rPr>
        <w:t>– CPS No. 0</w:t>
      </w:r>
      <w:r w:rsidR="00A134C3">
        <w:rPr>
          <w:rFonts w:ascii="Garamond" w:hAnsi="Garamond" w:cs="Arial"/>
          <w:lang w:val="es-CO"/>
        </w:rPr>
        <w:t>23</w:t>
      </w:r>
      <w:r w:rsidR="00A134C3">
        <w:rPr>
          <w:rFonts w:ascii="Garamond" w:hAnsi="Garamond" w:cs="Arial"/>
          <w:lang w:val="es-CO"/>
        </w:rPr>
        <w:t xml:space="preserve"> de 20</w:t>
      </w:r>
      <w:r w:rsidR="00A134C3">
        <w:rPr>
          <w:rFonts w:ascii="Garamond" w:hAnsi="Garamond" w:cs="Arial"/>
          <w:lang w:val="es-CO"/>
        </w:rPr>
        <w:t>20</w:t>
      </w:r>
    </w:p>
    <w:p w14:paraId="48E54BC9" w14:textId="22B80B51" w:rsidR="000C5681" w:rsidRPr="00060479" w:rsidRDefault="000C5681" w:rsidP="0087275C">
      <w:pPr>
        <w:jc w:val="both"/>
        <w:rPr>
          <w:rFonts w:ascii="Garamond" w:hAnsi="Garamond" w:cs="Arial"/>
          <w:lang w:val="es-CO"/>
        </w:rPr>
      </w:pPr>
    </w:p>
    <w:p w14:paraId="76D6ED59" w14:textId="5556A207" w:rsidR="0062581C" w:rsidRPr="00CA789A" w:rsidRDefault="0062581C">
      <w:pPr>
        <w:spacing w:after="0" w:line="240" w:lineRule="auto"/>
        <w:jc w:val="both"/>
        <w:rPr>
          <w:rFonts w:ascii="Garamond" w:hAnsi="Garamond"/>
        </w:rPr>
      </w:pPr>
    </w:p>
    <w:sectPr w:rsidR="0062581C" w:rsidRPr="00CA789A">
      <w:headerReference w:type="default" r:id="rId11"/>
      <w:footerReference w:type="default" r:id="rId12"/>
      <w:pgSz w:w="12240" w:h="15840"/>
      <w:pgMar w:top="2268" w:right="1134" w:bottom="1701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912EBA" w14:textId="77777777" w:rsidR="00A8354A" w:rsidRDefault="00A8354A">
      <w:pPr>
        <w:spacing w:after="0" w:line="240" w:lineRule="auto"/>
      </w:pPr>
      <w:r>
        <w:separator/>
      </w:r>
    </w:p>
  </w:endnote>
  <w:endnote w:type="continuationSeparator" w:id="0">
    <w:p w14:paraId="3695B234" w14:textId="77777777" w:rsidR="00A8354A" w:rsidRDefault="00A8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Lohit Hindi">
    <w:altName w:val="Cambria"/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E1B825" w14:textId="77777777" w:rsidR="00C001DD" w:rsidRDefault="00FF61DD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530DA3B2" wp14:editId="4D4DB88F">
              <wp:simplePos x="0" y="0"/>
              <wp:positionH relativeFrom="column">
                <wp:posOffset>-184785</wp:posOffset>
              </wp:positionH>
              <wp:positionV relativeFrom="paragraph">
                <wp:posOffset>-407670</wp:posOffset>
              </wp:positionV>
              <wp:extent cx="2019300" cy="1000125"/>
              <wp:effectExtent l="0" t="0" r="0" b="9525"/>
              <wp:wrapNone/>
              <wp:docPr id="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019300" cy="10001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6BB3D4" w14:textId="77777777" w:rsidR="00450E14" w:rsidRDefault="00FF61DD" w:rsidP="00450E14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</w:pPr>
                          <w:r w:rsidRPr="00D36E4F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  <w:t xml:space="preserve">Alcaldía Local de </w:t>
                          </w:r>
                          <w:r w:rsidR="00995CF9"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  <w:lang w:val="es-MX"/>
                            </w:rPr>
                            <w:t>Engativá</w:t>
                          </w:r>
                        </w:p>
                        <w:p w14:paraId="13DEBA63" w14:textId="77777777" w:rsidR="00995CF9" w:rsidRPr="00995CF9" w:rsidRDefault="00995CF9" w:rsidP="00995CF9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995CF9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Calle 71 No. 73 A – 44</w:t>
                          </w:r>
                        </w:p>
                        <w:p w14:paraId="62A130CB" w14:textId="77777777" w:rsidR="00995CF9" w:rsidRPr="00995CF9" w:rsidRDefault="00995CF9" w:rsidP="00995CF9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995CF9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Código Postal: 111051</w:t>
                          </w:r>
                        </w:p>
                        <w:p w14:paraId="5CD9CADD" w14:textId="77777777" w:rsidR="00995CF9" w:rsidRPr="00995CF9" w:rsidRDefault="00995CF9" w:rsidP="00995CF9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995CF9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Tel. 2916670 EXT. 2114-2814-2603</w:t>
                          </w:r>
                        </w:p>
                        <w:p w14:paraId="2A486870" w14:textId="77777777" w:rsidR="00995CF9" w:rsidRPr="00995CF9" w:rsidRDefault="00995CF9" w:rsidP="00995CF9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  <w:r w:rsidRPr="00995CF9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Información Línea 195</w:t>
                          </w:r>
                        </w:p>
                        <w:p w14:paraId="36DB5699" w14:textId="77777777" w:rsidR="00FF61DD" w:rsidRPr="00D36E4F" w:rsidRDefault="00995CF9" w:rsidP="00995CF9">
                          <w:pPr>
                            <w:pStyle w:val="Sinespaciado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995CF9"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  <w:t>www.engativa.gov.co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0DA3B2" id="Rectangle 1" o:spid="_x0000_s1026" style="position:absolute;margin-left:-14.55pt;margin-top:-32.1pt;width:159pt;height:78.75pt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" stroked="f" strokeweight="0">
              <v:textbox inset="7.25pt,3.65pt,7.25pt,3.65pt">
                <w:txbxContent>
                  <w:p w14:paraId="596BB3D4" w14:textId="77777777" w:rsidR="00450E14" w:rsidRDefault="00FF61DD" w:rsidP="00450E14">
                    <w:pPr>
                      <w:pStyle w:val="Sinespaciado"/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</w:pPr>
                    <w:r w:rsidRPr="00D36E4F"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  <w:t xml:space="preserve">Alcaldía Local de </w:t>
                    </w:r>
                    <w:r w:rsidR="00995CF9">
                      <w:rPr>
                        <w:rFonts w:ascii="Arial" w:hAnsi="Arial" w:cs="Arial"/>
                        <w:b/>
                        <w:sz w:val="16"/>
                        <w:szCs w:val="16"/>
                        <w:lang w:val="es-MX"/>
                      </w:rPr>
                      <w:t>Engativá</w:t>
                    </w:r>
                  </w:p>
                  <w:p w14:paraId="13DEBA63" w14:textId="77777777" w:rsidR="00995CF9" w:rsidRPr="00995CF9" w:rsidRDefault="00995CF9" w:rsidP="00995CF9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995CF9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Calle 71 No. 73 A – 44</w:t>
                    </w:r>
                  </w:p>
                  <w:p w14:paraId="62A130CB" w14:textId="77777777" w:rsidR="00995CF9" w:rsidRPr="00995CF9" w:rsidRDefault="00995CF9" w:rsidP="00995CF9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995CF9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Código Postal: 111051</w:t>
                    </w:r>
                  </w:p>
                  <w:p w14:paraId="5CD9CADD" w14:textId="77777777" w:rsidR="00995CF9" w:rsidRPr="00995CF9" w:rsidRDefault="00995CF9" w:rsidP="00995CF9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995CF9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Tel. 2916670 EXT. 2114-2814-2603</w:t>
                    </w:r>
                  </w:p>
                  <w:p w14:paraId="2A486870" w14:textId="77777777" w:rsidR="00995CF9" w:rsidRPr="00995CF9" w:rsidRDefault="00995CF9" w:rsidP="00995CF9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  <w:r w:rsidRPr="00995CF9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Información Línea 195</w:t>
                    </w:r>
                  </w:p>
                  <w:p w14:paraId="36DB5699" w14:textId="77777777" w:rsidR="00FF61DD" w:rsidRPr="00D36E4F" w:rsidRDefault="00995CF9" w:rsidP="00995CF9">
                    <w:pPr>
                      <w:pStyle w:val="Sinespaciado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995CF9"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  <w:t>www.engativa.gov.co</w:t>
                    </w:r>
                  </w:p>
                </w:txbxContent>
              </v:textbox>
            </v:rect>
          </w:pict>
        </mc:Fallback>
      </mc:AlternateContent>
    </w:r>
    <w:r w:rsidR="00FF00BF">
      <w:rPr>
        <w:noProof/>
      </w:rPr>
      <w:drawing>
        <wp:anchor distT="0" distB="0" distL="114300" distR="114300" simplePos="0" relativeHeight="251664384" behindDoc="0" locked="0" layoutInCell="1" allowOverlap="1" wp14:anchorId="153861F6" wp14:editId="2F12C9CC">
          <wp:simplePos x="0" y="0"/>
          <wp:positionH relativeFrom="margin">
            <wp:align>right</wp:align>
          </wp:positionH>
          <wp:positionV relativeFrom="paragraph">
            <wp:posOffset>-360099</wp:posOffset>
          </wp:positionV>
          <wp:extent cx="647971" cy="644642"/>
          <wp:effectExtent l="0" t="0" r="0" b="3058"/>
          <wp:wrapThrough wrapText="bothSides">
            <wp:wrapPolygon edited="0">
              <wp:start x="2540" y="0"/>
              <wp:lineTo x="2540" y="10213"/>
              <wp:lineTo x="0" y="16596"/>
              <wp:lineTo x="0" y="21064"/>
              <wp:lineTo x="20956" y="21064"/>
              <wp:lineTo x="20956" y="16596"/>
              <wp:lineTo x="18416" y="10213"/>
              <wp:lineTo x="18416" y="0"/>
              <wp:lineTo x="2540" y="0"/>
            </wp:wrapPolygon>
          </wp:wrapThrough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47971" cy="644642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F00BF">
      <w:rPr>
        <w:rFonts w:eastAsia="MS Mincho"/>
        <w:noProof/>
        <w:sz w:val="24"/>
        <w:szCs w:val="24"/>
        <w:lang w:val="es-CO" w:eastAsia="es-C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ED4701F" wp14:editId="36DE4D5F">
              <wp:simplePos x="0" y="0"/>
              <wp:positionH relativeFrom="column">
                <wp:posOffset>2228850</wp:posOffset>
              </wp:positionH>
              <wp:positionV relativeFrom="paragraph">
                <wp:posOffset>-464186</wp:posOffset>
              </wp:positionV>
              <wp:extent cx="1524003" cy="695328"/>
              <wp:effectExtent l="0" t="0" r="0" b="9522"/>
              <wp:wrapThrough wrapText="bothSides">
                <wp:wrapPolygon edited="0">
                  <wp:start x="0" y="0"/>
                  <wp:lineTo x="0" y="21304"/>
                  <wp:lineTo x="21330" y="21304"/>
                  <wp:lineTo x="21330" y="0"/>
                  <wp:lineTo x="0" y="0"/>
                </wp:wrapPolygon>
              </wp:wrapThrough>
              <wp:docPr id="3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24003" cy="695328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>
                        <a:noFill/>
                        <a:prstDash val="solid"/>
                      </a:ln>
                    </wps:spPr>
                    <wps:txbx>
                      <w:txbxContent>
                        <w:p w14:paraId="07A9724E" w14:textId="77777777" w:rsidR="00C001DD" w:rsidRDefault="00A8354A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16"/>
                              <w:szCs w:val="16"/>
                              <w:lang w:val="es-MX"/>
                            </w:rPr>
                          </w:pPr>
                        </w:p>
                        <w:p w14:paraId="0A92CFEA" w14:textId="77777777" w:rsidR="00C001DD" w:rsidRDefault="00FF00B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GDI - GPD – F0</w:t>
                          </w:r>
                          <w:r w:rsidR="00995CF9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73</w:t>
                          </w:r>
                        </w:p>
                        <w:p w14:paraId="3D3EF29D" w14:textId="431E651D" w:rsidR="00C001DD" w:rsidRDefault="00FF00B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Versión: 0</w:t>
                          </w:r>
                          <w:r w:rsidR="007038C8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5</w:t>
                          </w:r>
                        </w:p>
                        <w:p w14:paraId="32EE4A20" w14:textId="77777777" w:rsidR="00C001DD" w:rsidRDefault="00FF00B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Vigencia:</w:t>
                          </w:r>
                        </w:p>
                        <w:p w14:paraId="7A9E8656" w14:textId="348CB021" w:rsidR="00C001DD" w:rsidRDefault="00FF00B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</w:pP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0</w:t>
                          </w:r>
                          <w:r w:rsidR="00CA789A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2</w:t>
                          </w:r>
                          <w:r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 xml:space="preserve"> de enero de 20</w:t>
                          </w:r>
                          <w:r w:rsidR="00CA789A">
                            <w:rPr>
                              <w:rFonts w:ascii="Arial" w:hAnsi="Arial" w:cs="Arial"/>
                              <w:sz w:val="14"/>
                              <w:szCs w:val="16"/>
                              <w:lang w:val="es-MX"/>
                            </w:rPr>
                            <w:t>20</w:t>
                          </w:r>
                        </w:p>
                      </w:txbxContent>
                    </wps:txbx>
                    <wps:bodyPr vert="horz" wrap="square" lIns="92070" tIns="46350" rIns="92070" bIns="4635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ED4701F" id="_x0000_s1027" style="position:absolute;margin-left:175.5pt;margin-top:-36.55pt;width:120pt;height:5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" stroked="f">
              <v:textbox inset="2.5575mm,1.2875mm,2.5575mm,1.2875mm">
                <w:txbxContent>
                  <w:p w14:paraId="07A9724E" w14:textId="77777777" w:rsidR="00C001DD" w:rsidRDefault="00A8354A">
                    <w:pPr>
                      <w:spacing w:after="0" w:line="240" w:lineRule="auto"/>
                      <w:rPr>
                        <w:rFonts w:ascii="Arial" w:hAnsi="Arial" w:cs="Arial"/>
                        <w:sz w:val="16"/>
                        <w:szCs w:val="16"/>
                        <w:lang w:val="es-MX"/>
                      </w:rPr>
                    </w:pPr>
                  </w:p>
                  <w:p w14:paraId="0A92CFEA" w14:textId="77777777" w:rsidR="00C001DD" w:rsidRDefault="00FF00B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GDI - GPD – F0</w:t>
                    </w:r>
                    <w:r w:rsidR="00995CF9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73</w:t>
                    </w:r>
                  </w:p>
                  <w:p w14:paraId="3D3EF29D" w14:textId="431E651D" w:rsidR="00C001DD" w:rsidRDefault="00FF00B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Versión: 0</w:t>
                    </w:r>
                    <w:r w:rsidR="007038C8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5</w:t>
                    </w:r>
                  </w:p>
                  <w:p w14:paraId="32EE4A20" w14:textId="77777777" w:rsidR="00C001DD" w:rsidRDefault="00FF00B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Vigencia:</w:t>
                    </w:r>
                  </w:p>
                  <w:p w14:paraId="7A9E8656" w14:textId="348CB021" w:rsidR="00C001DD" w:rsidRDefault="00FF00BF">
                    <w:pPr>
                      <w:spacing w:after="0" w:line="240" w:lineRule="auto"/>
                      <w:jc w:val="center"/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</w:pP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0</w:t>
                    </w:r>
                    <w:r w:rsidR="00CA789A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2</w:t>
                    </w:r>
                    <w:r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 xml:space="preserve"> de enero de 20</w:t>
                    </w:r>
                    <w:r w:rsidR="00CA789A">
                      <w:rPr>
                        <w:rFonts w:ascii="Arial" w:hAnsi="Arial" w:cs="Arial"/>
                        <w:sz w:val="14"/>
                        <w:szCs w:val="16"/>
                        <w:lang w:val="es-MX"/>
                      </w:rPr>
                      <w:t>20</w:t>
                    </w:r>
                  </w:p>
                </w:txbxContent>
              </v:textbox>
              <w10:wrap type="through"/>
            </v:rect>
          </w:pict>
        </mc:Fallback>
      </mc:AlternateContent>
    </w:r>
    <w:r w:rsidR="00FF00BF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4B15F3" wp14:editId="2095B5FD">
              <wp:simplePos x="0" y="0"/>
              <wp:positionH relativeFrom="column">
                <wp:posOffset>1520190</wp:posOffset>
              </wp:positionH>
              <wp:positionV relativeFrom="paragraph">
                <wp:posOffset>-340998</wp:posOffset>
              </wp:positionV>
              <wp:extent cx="0" cy="628019"/>
              <wp:effectExtent l="0" t="0" r="38100" b="19681"/>
              <wp:wrapNone/>
              <wp:docPr id="4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28019"/>
                      </a:xfrm>
                      <a:prstGeom prst="straightConnector1">
                        <a:avLst/>
                      </a:prstGeom>
                      <a:noFill/>
                      <a:ln w="9528" cap="flat">
                        <a:solidFill>
                          <a:srgbClr val="000000"/>
                        </a:solidFill>
                        <a:prstDash val="solid"/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88B69F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119.7pt;margin-top:-26.85pt;width:0;height:49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" strokeweight=".26467mm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350699" w14:textId="77777777" w:rsidR="00A8354A" w:rsidRDefault="00A8354A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4B98FD1" w14:textId="77777777" w:rsidR="00A8354A" w:rsidRDefault="00A835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2D301A" w14:textId="77777777" w:rsidR="00C001DD" w:rsidRDefault="00FF00BF">
    <w:pPr>
      <w:pStyle w:val="Encabezamien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507E293" wp14:editId="6A8BEE0D">
          <wp:simplePos x="0" y="0"/>
          <wp:positionH relativeFrom="margin">
            <wp:posOffset>-166256</wp:posOffset>
          </wp:positionH>
          <wp:positionV relativeFrom="paragraph">
            <wp:posOffset>11356</wp:posOffset>
          </wp:positionV>
          <wp:extent cx="2390771" cy="790571"/>
          <wp:effectExtent l="0" t="0" r="0" b="0"/>
          <wp:wrapTight wrapText="bothSides">
            <wp:wrapPolygon edited="0">
              <wp:start x="0" y="0"/>
              <wp:lineTo x="0" y="20819"/>
              <wp:lineTo x="21342" y="20819"/>
              <wp:lineTo x="21342" y="0"/>
              <wp:lineTo x="0" y="0"/>
            </wp:wrapPolygon>
          </wp:wrapTight>
          <wp:docPr id="5" name="Imagen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90771" cy="7905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6A9B1F9F" w14:textId="77777777" w:rsidR="00C001DD" w:rsidRDefault="00A8354A">
    <w:pPr>
      <w:pStyle w:val="Encabezamiento"/>
    </w:pPr>
  </w:p>
  <w:p w14:paraId="5C191038" w14:textId="77777777" w:rsidR="00C001DD" w:rsidRDefault="00A8354A">
    <w:pPr>
      <w:pStyle w:val="Encabezamiento"/>
    </w:pPr>
  </w:p>
  <w:p w14:paraId="48901F0B" w14:textId="77777777" w:rsidR="00C001DD" w:rsidRDefault="00A8354A">
    <w:pPr>
      <w:pStyle w:val="Encabezamiento"/>
    </w:pPr>
  </w:p>
  <w:p w14:paraId="5C03B5A5" w14:textId="77777777" w:rsidR="00C001DD" w:rsidRDefault="00FF00BF">
    <w:pPr>
      <w:pStyle w:val="Encabezamiento"/>
      <w:tabs>
        <w:tab w:val="clear" w:pos="8504"/>
      </w:tabs>
      <w:jc w:val="right"/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F3347B"/>
    <w:multiLevelType w:val="hybridMultilevel"/>
    <w:tmpl w:val="DBB421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25821B2"/>
    <w:multiLevelType w:val="hybridMultilevel"/>
    <w:tmpl w:val="C5A49DA8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8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81C"/>
    <w:rsid w:val="000C5681"/>
    <w:rsid w:val="00197DBE"/>
    <w:rsid w:val="00223E7C"/>
    <w:rsid w:val="00450E14"/>
    <w:rsid w:val="004B1AA7"/>
    <w:rsid w:val="00534FBC"/>
    <w:rsid w:val="0062581C"/>
    <w:rsid w:val="0063439D"/>
    <w:rsid w:val="007038C8"/>
    <w:rsid w:val="00842B38"/>
    <w:rsid w:val="0087275C"/>
    <w:rsid w:val="008C424B"/>
    <w:rsid w:val="00995CF9"/>
    <w:rsid w:val="00A134C3"/>
    <w:rsid w:val="00A8354A"/>
    <w:rsid w:val="00B050B8"/>
    <w:rsid w:val="00B41A4E"/>
    <w:rsid w:val="00CA789A"/>
    <w:rsid w:val="00D36E4F"/>
    <w:rsid w:val="00D37F56"/>
    <w:rsid w:val="00D54486"/>
    <w:rsid w:val="00E67C04"/>
    <w:rsid w:val="00F26623"/>
    <w:rsid w:val="00FF00BF"/>
    <w:rsid w:val="00FF6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EBB0DE"/>
  <w15:docId w15:val="{FC1E9AFE-7B85-424E-92BA-CDF954381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  <w:spacing w:after="200" w:line="276" w:lineRule="auto"/>
    </w:pPr>
    <w:rPr>
      <w:rFonts w:eastAsia="Calibri"/>
      <w:sz w:val="22"/>
      <w:szCs w:val="22"/>
      <w:lang w:val="es-ES"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CarCar2">
    <w:name w:val="Car Car2"/>
    <w:basedOn w:val="Fuentedeprrafopredeter"/>
  </w:style>
  <w:style w:type="character" w:customStyle="1" w:styleId="CarCar1">
    <w:name w:val="Car Car1"/>
    <w:basedOn w:val="Fuentedeprrafopredeter"/>
  </w:style>
  <w:style w:type="character" w:customStyle="1" w:styleId="CarCar">
    <w:name w:val="Car Car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next w:val="Cuerpodetexto"/>
    <w:pPr>
      <w:keepNext/>
      <w:spacing w:before="240" w:after="120"/>
    </w:pPr>
    <w:rPr>
      <w:rFonts w:ascii="Arial" w:eastAsia="Droid Sans" w:hAnsi="Arial" w:cs="Lohit Hindi"/>
      <w:sz w:val="28"/>
      <w:szCs w:val="28"/>
    </w:rPr>
  </w:style>
  <w:style w:type="paragraph" w:customStyle="1" w:styleId="Cuerpodetexto">
    <w:name w:val="Cuerpo de texto"/>
    <w:basedOn w:val="Normal"/>
    <w:pPr>
      <w:spacing w:after="120"/>
    </w:pPr>
  </w:style>
  <w:style w:type="paragraph" w:styleId="Lista">
    <w:name w:val="List"/>
    <w:basedOn w:val="Cuerpodetexto"/>
    <w:rPr>
      <w:rFonts w:cs="Lohit Hindi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Lohit Hindi"/>
    </w:rPr>
  </w:style>
  <w:style w:type="paragraph" w:customStyle="1" w:styleId="Encabezamiento">
    <w:name w:val="Encabezamiento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paragraph" w:styleId="Textodeglobo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character" w:styleId="Hipervnculo">
    <w:name w:val="Hyperlink"/>
    <w:basedOn w:val="Fuentedeprrafopredeter"/>
    <w:rPr>
      <w:color w:val="0000FF"/>
      <w:u w:val="single" w:color="000000"/>
    </w:rPr>
  </w:style>
  <w:style w:type="paragraph" w:customStyle="1" w:styleId="xmsonormal">
    <w:name w:val="x_msonormal"/>
    <w:basedOn w:val="Normal"/>
    <w:pPr>
      <w:suppressAutoHyphens w:val="0"/>
      <w:spacing w:before="100" w:after="100" w:line="240" w:lineRule="auto"/>
      <w:textAlignment w:val="auto"/>
    </w:pPr>
    <w:rPr>
      <w:rFonts w:ascii="Times New Roman" w:eastAsia="Times New Roman" w:hAnsi="Times New Roman"/>
      <w:sz w:val="24"/>
      <w:szCs w:val="24"/>
      <w:lang w:val="es-CO" w:eastAsia="es-CO"/>
    </w:rPr>
  </w:style>
  <w:style w:type="paragraph" w:styleId="Prrafodelista">
    <w:name w:val="List Paragraph"/>
    <w:basedOn w:val="Normal"/>
    <w:uiPriority w:val="34"/>
    <w:qFormat/>
    <w:pPr>
      <w:ind w:left="720"/>
    </w:pPr>
  </w:style>
  <w:style w:type="paragraph" w:styleId="Sinespaciado">
    <w:name w:val="No Spacing"/>
    <w:uiPriority w:val="1"/>
    <w:qFormat/>
    <w:rsid w:val="00FF61DD"/>
    <w:pPr>
      <w:suppressAutoHyphens/>
    </w:pPr>
    <w:rPr>
      <w:rFonts w:eastAsia="Calibri"/>
      <w:sz w:val="22"/>
      <w:szCs w:val="22"/>
      <w:lang w:val="es-ES" w:eastAsia="zh-CN"/>
    </w:rPr>
  </w:style>
  <w:style w:type="table" w:styleId="Tablaconcuadrcula">
    <w:name w:val="Table Grid"/>
    <w:basedOn w:val="Tablanormal"/>
    <w:rsid w:val="0063439D"/>
    <w:pPr>
      <w:autoSpaceDN/>
      <w:textAlignment w:val="auto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4d1d2e24-7be0-47eb-a1db-99cc6d75ca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1BFFB4411CFC54CA6A3FA228255AE4E" ma:contentTypeVersion="13" ma:contentTypeDescription="Crear nuevo documento." ma:contentTypeScope="" ma:versionID="e2e22b6c5eaabac9adbefd5ef190b3a3">
  <xsd:schema xmlns:xsd="http://www.w3.org/2001/XMLSchema" xmlns:xs="http://www.w3.org/2001/XMLSchema" xmlns:p="http://schemas.microsoft.com/office/2006/metadata/properties" xmlns:ns2="4d1d2e24-7be0-47eb-a1db-99cc6d75caff" xmlns:ns3="d6eaa91c-3afb-4015-aba1-5ff992c1a5ca" targetNamespace="http://schemas.microsoft.com/office/2006/metadata/properties" ma:root="true" ma:fieldsID="acd4d6c81697b1595029b94e0ac1a92c" ns2:_="" ns3:_="">
    <xsd:import namespace="4d1d2e24-7be0-47eb-a1db-99cc6d75caff"/>
    <xsd:import namespace="d6eaa91c-3afb-4015-aba1-5ff992c1a5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1d2e24-7be0-47eb-a1db-99cc6d75ca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Estado de aprobación" ma:internalName="Estado_x0020_de_x0020_aprobaci_x00f3_n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eaa91c-3afb-4015-aba1-5ff992c1a5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525F7-E1D0-4824-809B-F199AC2DB889}">
  <ds:schemaRefs>
    <ds:schemaRef ds:uri="http://schemas.microsoft.com/office/2006/metadata/properties"/>
    <ds:schemaRef ds:uri="http://schemas.microsoft.com/office/infopath/2007/PartnerControls"/>
    <ds:schemaRef ds:uri="4d1d2e24-7be0-47eb-a1db-99cc6d75caff"/>
  </ds:schemaRefs>
</ds:datastoreItem>
</file>

<file path=customXml/itemProps2.xml><?xml version="1.0" encoding="utf-8"?>
<ds:datastoreItem xmlns:ds="http://schemas.openxmlformats.org/officeDocument/2006/customXml" ds:itemID="{F93FEAEC-9775-44C8-8A40-620C8212C0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1d2e24-7be0-47eb-a1db-99cc6d75caff"/>
    <ds:schemaRef ds:uri="d6eaa91c-3afb-4015-aba1-5ff992c1a5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500F9D-9163-48EF-B738-24814106D0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331BA93-8275-4C1B-841D-CAD96C0DB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Rafael.Arevalo</dc:creator>
  <cp:lastModifiedBy>Diana Marcela Castro Gualtero</cp:lastModifiedBy>
  <cp:revision>2</cp:revision>
  <cp:lastPrinted>2019-03-04T14:30:00Z</cp:lastPrinted>
  <dcterms:created xsi:type="dcterms:W3CDTF">2020-02-13T16:31:00Z</dcterms:created>
  <dcterms:modified xsi:type="dcterms:W3CDTF">2020-02-13T16:31:00Z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0x01010041BFFB4411CFC54CA6A3FA228255AE4E</vt:lpwstr>
  </property>
</Properties>
</file>